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rFonts w:cs="Cambria" w:hAnsi="Cambria" w:eastAsia="Cambria" w:ascii="Cambria"/>
          <w:b w:val="1"/>
          <w:i w:val="1"/>
          <w:sz w:val="24"/>
          <w:u w:val="single"/>
          <w:rtl w:val="0"/>
        </w:rPr>
        <w:t xml:space="preserve">Biografia do Profeta Daniel</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Daniel é o 27º livro da Bíblia, tem 12 capítulos e 357 versículos.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Daniel significa Deus é meu juiz.</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bookmarkStart w:id="0" w:colFirst="0" w:name="h.gjdgxs" w:colLast="0"/>
      <w:bookmarkEnd w:id="0"/>
      <w:r w:rsidRPr="00000000" w:rsidR="00000000" w:rsidDel="00000000">
        <w:rPr>
          <w:rFonts w:cs="Cambria" w:hAnsi="Cambria" w:eastAsia="Cambria" w:ascii="Cambria"/>
          <w:b w:val="1"/>
          <w:i w:val="1"/>
          <w:sz w:val="24"/>
          <w:rtl w:val="0"/>
        </w:rPr>
        <w:t xml:space="preserve">Possivelmente Daniel foi membro de uma família real de Judá, foi levado cativo à Babilônia por volta de 605 a.C.</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O livro do profeta Daniel foi escrito ao povo de Judá, Reino Sul exilados na Babilônia. Daniel procurou incentivá-los lembrando-lhes que no final das contas Deus exercia controle sobre os acontecimentos, Deus não demoraria em restaurar o seu povo e o seu templo.</w:t>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Segundo alguns críticos, o livro de Daniel foi escrito depois de muitos dos acontecimentos preditos no livro.</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Na época, o império Babilônico (626-539 a.C.) tinha tomado o lugar da Assíria como superpotência mundial. O Exército babilônico de Nabucodonosor tinha conquistado Judá, levando para a Babilônia milhares dentre o povo de Deus, ao passo que outros fugiram para o Egito. Jerusalém e o templo tinham sido saqueados e incendiados.</w:t>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u w:val="single"/>
          <w:rtl w:val="0"/>
        </w:rPr>
        <w:t xml:space="preserve">Fonte: Bíblia de Estudo Vida - Almeida revista e Atualizada  - Editora Vida</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O profeta Daniel, juntamente com milhares de compatriotas, foi deportado para uma terra estrangeira após a conquista de Judá, reino Sul. Daniel achou-se diante de um déspota egocêntrico e cercado por idólatras.</w:t>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Ao invés de desistir ou desesperar-se, este jovem corajoso manteve firme a fé em Deus, pois sabia que, apesar das circunstâncias, Deus era soberano e realizava seu plano para as nações e para os indivíduos.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O livro do profeta Daniel se concentra nesta profunda verdade: a soberania de Deus.</w:t>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Após um breve relato do cerco e da tomada de Jerusalém por Nabucodonosor, a cena rapidamente se volta para Daniel e seus três amigos, Hananias, Misael e Azarias (Sadraque, Mesaque e Abede-Nego). Estes homens ocuparam posições proeminentes no governo babilônico. Daniel, em particular, alcançou tal posição por sua habilidade em interpretar os sonhos do rei, que estavam relacionados às revelações de Deus  capítulos 2 e 4).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O rei Belsazar governou  Babilônia após Nabucodonosor, e o capítulo 5 narra sua preocupação com a mensagem de Deus escrita na parede. Daniel, convocado para interpretar a mensagem, predisse a queda da Babilônia pelos Medos e Persas, o que veio a se concretizar naquela mesma noite. Então Dario, o medo, conquistou o reino da Babilônia.</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O profeta Daniel tornou-se um dos conselheiros mais confiáveis do rei Dario. Sua posição privilegiada enfureceu outros administradores, que tramaram sua morte convencendo o rei a declarar ilegal a oração que Daniel fazia a Deus. Não obstante, Daniel continuou a orar a seu Senhor soberano, pelo que foi condenando a morrer em uma cova de leões famintos. </w:t>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Novamente, Deus interveio e o salvou, fechando a boca dos leões, capítulo 6.</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O livro conclui com uma série de visões que Daniel teve durante os reinados de Belsazar ( capítulos 7 e 8) e Ciro( capítulos 10-12).</w:t>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Estes sonhos esboçam dramaticamente os planos futuros de Deus, começando com a Babilônia e continuando até o final dos séculos.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Daniel e seus três amigos optaram por não comer a comida do rei.</w:t>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Eles não se curvaram à imagem do rei, mesmo sob pena de morte. O profeta Daniel continuou a orar, embora soubesse que poderia ser notado e condenado à morte. Estes homens são exemplos inspiradores de como viver uma vida com Deus em um mundo pecaminoso.</w:t>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Quando enfrentamos provações, podemos ter certeza de que Deus está conosco.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Daniel e seus três amigos são exemplos de dedicação e comprometimento. Decidiram servir a Deus a despeito das consequências.</w:t>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Não desanimaram sob as pressões de uma sociedade sem Deus porque tinham um propósito claro na vida.</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Durante 70 anos o profeta Daniel serviu em uma terra estrangeira e hostil a Deus, mas isto não comprometeu a sua fé. Daniel foi sincero, persistente na oração, e mostrou-se desinteressado em glória pessoal.</w:t>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u w:val="single"/>
          <w:rtl w:val="0"/>
        </w:rPr>
        <w:t xml:space="preserve">Fonte: Bíblia de Estudo Aplicação Pessoal - Versão Almeida revista e Corrigida - Edição 1995</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Há duplo propósito no livro do profeta Daniel:</w:t>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1 - Dar ao povo do concerto do AT a certeza de que o juízo de seu cativeiro entre as nações gentias não seria permanente.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2 - Legar ao povo de Deus, no decurso da sua história, as visões proféticas da soberania de Deus sobre as nações, e do triunfo final do seu reino na terra. Este duplo propósito é demonstrado no decorrer do livro, nas vidas de Daniel e dos seus três amigos, e na mensagem e ministérios proféticos de Daniel.</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O conteúdo do livro de Daniel é uma associação de autobiografia, história e profecia. Sua forma  literária é apocalíptica, significando que sua mensagem profética é a revelação de Deus.</w:t>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1 - Através de visões, sonhos e simbolismo.</w:t>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2 - Visando encorajar o povo de Deus durante um período crítico da história.</w:t>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3 - Para uma concepção da esperança de Israel no tocante ao triunfo final do reino de Deus e da sua justiça na terra.</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As mensagens proféticas de Daniel abrangem duas dimensões:</w:t>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1 - O futuro próximo</w:t>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2 - O futuro distante, se bem que ambas as dimensões frequentemente se mesclam. Por exemplo: nos capítulos 8 e 11, Daniel profetiza acerca do tipo do futuro Anticristo, a saber, Antíoco IV Epifânio, que profanou o templo em Jerusalém, em 160 a.C., e ao mesmo tempo profetizou a respeito do Anticristo dos fins dos tempos(8.23-26; 11.36-45; cf. Apocalipse 13.1-10). Esta interação entre esses dois tipos de futuro caracteriza a profecia bíblica de modo geral, e Daniel, em particular. Deus revela a Daniel que a profecia para o futuro remoto é uma mensagem oculta até o “tempo do fim” (12.4,9). Nesse tempo, o povo de Deus o buscará com discernimento, com pureza e sabedoria para obter compreensão assim como o fez Daniel (12.3,10).</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Oito características principais assinalam o livro de Daniel:</w:t>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1 - É o mais breve dos  quatro profetas maiores, e o mais lido e estudado de todos os profetas do AT</w:t>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2 - Nos trechos proféticos do NT, Daniel é mais frequentemente citado ou aludido do que qualquer outro livro do AT.</w:t>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3 - É o “Apocalipse” do AT e, como o de Apocalipse do NT, revela grandes temas proféticos de vital importância  para a igreja do tempo do fim.</w:t>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4 - Contém o resumo profético mais detalhado de toda a história final do AT. É a única profecia do AT que estabelece a data  do primeiro advento de Cristo (9.24-27).</w:t>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5 - revela mais a respeito do seu autor humano  do que qualquer outro escrito profético do AT( com a possível exceção do profeta jeremias). Note-se que Daniel era um homem assinalado por grande integridade de caráter, sabedoria profética e esforçado na oração e no jejum.</w:t>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6 - Contém o melhor exemplo de intercessão pela restauração do povo de Deus baseada nas inspiradas promessas daPalavra de Deus( ver capítulo 9, baseado em jeremias 25.11-16; 29.7, 10-14).</w:t>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7 - As histórias de Daniel e dos seus amigos estão entre as mais queridas na Bíblia (especialmente os capítulos 3 e 6).</w:t>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8 - O episódio da “escritura na parede” durante o banquete do rei Belsazar é muitíssimo conhecido por toda parte.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A influência do profeta Daniel no NT vai muito além das cinco ou seis vezes que o livro é citado diretamente. Muito da história e da profecia de Daniel reaparece nos trechos proféticos dos Evangelhos, das Epístolas e do Apocalipse.</w:t>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A profecia de Daniel a respeito do Messias vindouro contém uma descrição dEle como:</w:t>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1 - A “grande pedra” que esmagaria os reinos do mundo (2.34-35,45).</w:t>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2 - O Filho do Homem, a quem o Ancião de dias daria o domínio, a glória e o reino (7.13-14).</w:t>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3 - “O Messias, o Príncipe” que viria e seria tirado( 9.25-26).</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O livro do profeta Daniel contém numerosos temas proféticos plenamente desenvolvidos no NT:</w:t>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A grande tribulação e o anticristo, a segunda vinda de nosso Senhor, o triunfo do reino de Deus, a ressurreição dos justos e dos ímpios e o Juízo Final. As vidas de Daniel e dos seus três amigos evidenciam o ensino neotestamentário da separação pessoal do pecado e do mundo, isto é, viver no mundo incrédulo sem, porém, participar do seu espírito e dos seus modos. </w:t>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(1.8; 3.12; 6.18; cf.  João 7.6,15-16,18; II Coríntios 6.14 e 7.1).</w:t>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Fonte: Bíblia de estudo Pentecostal - Revista e Corrigida - Edição de 1995</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Neuza Baldini</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Deus lhe abençoe.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Cambria" w:hAnsi="Cambria" w:eastAsia="Cambria" w:ascii="Cambria"/>
          <w:b w:val="1"/>
          <w:i w:val="1"/>
          <w:sz w:val="24"/>
          <w:rtl w:val="0"/>
        </w:rPr>
        <w:t xml:space="preserve">Breve Jesus Voltará!</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hyperlink r:id="rId5">
        <w:r w:rsidRPr="00000000" w:rsidR="00000000" w:rsidDel="00000000">
          <w:rPr>
            <w:rFonts w:cs="Cambria" w:hAnsi="Cambria" w:eastAsia="Cambria" w:ascii="Cambria"/>
            <w:b w:val="1"/>
            <w:i w:val="1"/>
            <w:color w:val="0000ff"/>
            <w:sz w:val="24"/>
            <w:u w:val="single"/>
            <w:rtl w:val="0"/>
          </w:rPr>
          <w:t xml:space="preserve">www.neuzabaldini.com</w:t>
        </w:r>
      </w:hyperlink>
      <w:hyperlink r:id="rId6">
        <w:r w:rsidRPr="00000000" w:rsidR="00000000" w:rsidDel="00000000">
          <w:rPr>
            <w:rtl w:val="0"/>
          </w:rPr>
        </w:r>
      </w:hyperlink>
    </w:p>
    <w:p w:rsidP="00000000" w:rsidRPr="00000000" w:rsidR="00000000" w:rsidDel="00000000" w:rsidRDefault="00000000">
      <w:pPr>
        <w:contextualSpacing w:val="0"/>
        <w:jc w:val="both"/>
      </w:pPr>
      <w:hyperlink r:id="rId7">
        <w:r w:rsidRPr="00000000" w:rsidR="00000000" w:rsidDel="00000000">
          <w:rPr>
            <w:rFonts w:cs="Cambria" w:hAnsi="Cambria" w:eastAsia="Cambria" w:ascii="Cambria"/>
            <w:b w:val="1"/>
            <w:i w:val="1"/>
            <w:color w:val="0000ff"/>
            <w:sz w:val="24"/>
            <w:u w:val="single"/>
            <w:rtl w:val="0"/>
          </w:rPr>
          <w:t xml:space="preserve">neuzaqbaldini@yahoo.com.br</w:t>
        </w:r>
      </w:hyperlink>
      <w:hyperlink r:id="rId8">
        <w:r w:rsidRPr="00000000" w:rsidR="00000000" w:rsidDel="00000000">
          <w:rPr>
            <w:rtl w:val="0"/>
          </w:rPr>
        </w:r>
      </w:hyperlink>
    </w:p>
    <w:p w:rsidP="00000000" w:rsidRPr="00000000" w:rsidR="00000000" w:rsidDel="00000000" w:rsidRDefault="00000000">
      <w:pPr>
        <w:contextualSpacing w:val="0"/>
        <w:jc w:val="both"/>
      </w:pPr>
      <w:hyperlink r:id="rId9">
        <w:r w:rsidRPr="00000000" w:rsidR="00000000" w:rsidDel="00000000">
          <w:rPr>
            <w:rFonts w:cs="Cambria" w:hAnsi="Cambria" w:eastAsia="Cambria" w:ascii="Cambria"/>
            <w:b w:val="1"/>
            <w:i w:val="1"/>
            <w:color w:val="0000ff"/>
            <w:sz w:val="24"/>
            <w:u w:val="single"/>
            <w:rtl w:val="0"/>
          </w:rPr>
          <w:t xml:space="preserve">www.youtube.com/user/Neuzabaldini</w:t>
        </w:r>
      </w:hyperlink>
      <w:hyperlink r:id="rId10">
        <w:r w:rsidRPr="00000000" w:rsidR="00000000" w:rsidDel="00000000">
          <w:rPr>
            <w:rtl w:val="0"/>
          </w:rPr>
        </w:r>
      </w:hyperlink>
    </w:p>
    <w:p w:rsidP="00000000" w:rsidRPr="00000000" w:rsidR="00000000" w:rsidDel="00000000" w:rsidRDefault="00000000">
      <w:pPr>
        <w:contextualSpacing w:val="0"/>
        <w:jc w:val="both"/>
      </w:pPr>
      <w:hyperlink r:id="rId11">
        <w:r w:rsidRPr="00000000" w:rsidR="00000000" w:rsidDel="00000000">
          <w:rPr>
            <w:rtl w:val="0"/>
          </w:rPr>
        </w:r>
      </w:hyperlink>
    </w:p>
    <w:p w:rsidP="00000000" w:rsidRPr="00000000" w:rsidR="00000000" w:rsidDel="00000000" w:rsidRDefault="00000000">
      <w:pPr>
        <w:contextualSpacing w:val="0"/>
        <w:jc w:val="both"/>
      </w:pPr>
      <w:hyperlink r:id="rId12">
        <w:r w:rsidRPr="00000000" w:rsidR="00000000" w:rsidDel="00000000">
          <w:rPr>
            <w:rtl w:val="0"/>
          </w:rPr>
        </w:r>
      </w:hyperlink>
    </w:p>
    <w:p w:rsidP="00000000" w:rsidRPr="00000000" w:rsidR="00000000" w:rsidDel="00000000" w:rsidRDefault="00000000">
      <w:pPr>
        <w:contextualSpacing w:val="0"/>
        <w:jc w:val="both"/>
      </w:pPr>
      <w:hyperlink r:id="rId13">
        <w:r w:rsidRPr="00000000" w:rsidR="00000000" w:rsidDel="00000000">
          <w:rPr>
            <w:rtl w:val="0"/>
          </w:rPr>
        </w:r>
      </w:hyperlink>
    </w:p>
    <w:p w:rsidP="00000000" w:rsidRPr="00000000" w:rsidR="00000000" w:rsidDel="00000000" w:rsidRDefault="00000000">
      <w:pPr>
        <w:contextualSpacing w:val="0"/>
        <w:jc w:val="both"/>
      </w:pPr>
      <w:hyperlink r:id="rId14">
        <w:r w:rsidRPr="00000000" w:rsidR="00000000" w:rsidDel="00000000">
          <w:rPr>
            <w:rtl w:val="0"/>
          </w:rPr>
        </w:r>
      </w:hyperlink>
    </w:p>
    <w:p w:rsidP="00000000" w:rsidRPr="00000000" w:rsidR="00000000" w:rsidDel="00000000" w:rsidRDefault="00000000">
      <w:pPr>
        <w:contextualSpacing w:val="0"/>
        <w:jc w:val="both"/>
      </w:pPr>
      <w:hyperlink r:id="rId15">
        <w:r w:rsidRPr="00000000" w:rsidR="00000000" w:rsidDel="00000000">
          <w:rPr>
            <w:rtl w:val="0"/>
          </w:rPr>
        </w:r>
      </w:hyperlink>
    </w:p>
    <w:p w:rsidP="00000000" w:rsidRPr="00000000" w:rsidR="00000000" w:rsidDel="00000000" w:rsidRDefault="00000000">
      <w:pPr>
        <w:contextualSpacing w:val="0"/>
        <w:jc w:val="both"/>
      </w:pPr>
      <w:hyperlink r:id="rId16">
        <w:r w:rsidRPr="00000000" w:rsidR="00000000" w:rsidDel="00000000">
          <w:rPr>
            <w:rtl w:val="0"/>
          </w:rPr>
        </w:r>
      </w:hyperlink>
    </w:p>
    <w:sectPr>
      <w:pgSz w:w="12240" w:h="15840"/>
      <w:pgMar w:left="990" w:right="810" w:top="63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Narrow"/>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Times New Roman" w:hAnsi="Times New Roman" w:eastAsia="Times New Roman" w:ascii="Times New Roman"/>
        <w:b w:val="0"/>
        <w:i w:val="0"/>
        <w:smallCaps w:val="0"/>
        <w:strike w:val="0"/>
        <w:color w:val="000000"/>
        <w:sz w:val="20"/>
        <w:u w:val="none"/>
        <w:vertAlign w:val="baseline"/>
      </w:rPr>
    </w:rPrDefault>
    <w:pPrDefault>
      <w:pPr>
        <w:keepNext w:val="0"/>
        <w:keepLines w:val="0"/>
        <w:widowControl w:val="1"/>
        <w:spacing w:lineRule="auto" w:after="0" w:line="240"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line="240" w:before="0"/>
      <w:jc w:val="center"/>
    </w:pPr>
    <w:rPr>
      <w:rFonts w:cs="Arial Narrow" w:hAnsi="Arial Narrow" w:eastAsia="Arial Narrow" w:ascii="Arial Narrow"/>
      <w:b w:val="1"/>
      <w:sz w:val="24"/>
      <w:u w:val="single"/>
    </w:rPr>
  </w:style>
  <w:style w:styleId="Heading2" w:type="paragraph">
    <w:name w:val="heading 2"/>
    <w:basedOn w:val="Normal"/>
    <w:next w:val="Normal"/>
    <w:pPr>
      <w:keepNext w:val="1"/>
      <w:keepLines w:val="1"/>
      <w:spacing w:lineRule="auto" w:after="0" w:line="240" w:before="0"/>
      <w:jc w:val="center"/>
    </w:pPr>
    <w:rPr>
      <w:rFonts w:cs="Times New Roman" w:hAnsi="Times New Roman" w:eastAsia="Times New Roman" w:ascii="Times New Roman"/>
      <w:b w:val="0"/>
      <w:sz w:val="24"/>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http://www.youtube.com/user/Neuzabaldini" Type="http://schemas.openxmlformats.org/officeDocument/2006/relationships/hyperlink" TargetMode="External" Id="rId16"/><Relationship Target="http://www.youtube.com/user/Neuzabaldini" Type="http://schemas.openxmlformats.org/officeDocument/2006/relationships/hyperlink" TargetMode="External" Id="rId15"/><Relationship Target="http://www.youtube.com/user/Neuzabaldini" Type="http://schemas.openxmlformats.org/officeDocument/2006/relationships/hyperlink" TargetMode="External" Id="rId14"/><Relationship Target="fontTable.xml" Type="http://schemas.openxmlformats.org/officeDocument/2006/relationships/fontTable" Id="rId2"/><Relationship Target="http://www.youtube.com/user/Neuzabaldini" Type="http://schemas.openxmlformats.org/officeDocument/2006/relationships/hyperlink" TargetMode="External" Id="rId12"/><Relationship Target="http://www.youtube.com/user/Neuzabaldini" Type="http://schemas.openxmlformats.org/officeDocument/2006/relationships/hyperlink" TargetMode="External" Id="rId13"/><Relationship Target="settings.xml" Type="http://schemas.openxmlformats.org/officeDocument/2006/relationships/settings" Id="rId1"/><Relationship Target="styles.xml" Type="http://schemas.openxmlformats.org/officeDocument/2006/relationships/styles" Id="rId4"/><Relationship Target="http://www.youtube.com/user/Neuzabaldini" Type="http://schemas.openxmlformats.org/officeDocument/2006/relationships/hyperlink" TargetMode="External" Id="rId10"/><Relationship Target="numbering.xml" Type="http://schemas.openxmlformats.org/officeDocument/2006/relationships/numbering" Id="rId3"/><Relationship Target="http://www.youtube.com/user/Neuzabaldini" Type="http://schemas.openxmlformats.org/officeDocument/2006/relationships/hyperlink" TargetMode="External" Id="rId11"/><Relationship Target="http://www.youtube.com/user/Neuzabaldini" Type="http://schemas.openxmlformats.org/officeDocument/2006/relationships/hyperlink" TargetMode="External" Id="rId9"/><Relationship Target="http://www.neuzabaldini.com" Type="http://schemas.openxmlformats.org/officeDocument/2006/relationships/hyperlink" TargetMode="External" Id="rId6"/><Relationship Target="http://www.neuzabaldini.com" Type="http://schemas.openxmlformats.org/officeDocument/2006/relationships/hyperlink" TargetMode="External" Id="rId5"/><Relationship Target="mailto:neuzaqbaldini@yahoo.com.br" Type="http://schemas.openxmlformats.org/officeDocument/2006/relationships/hyperlink" TargetMode="External" Id="rId8"/><Relationship Target="mailto:neuzaqbaldini@yahoo.com.br"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Biografia do Profeta Daniel.docx.docx</dc:title>
</cp:coreProperties>
</file>